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2f5496"/>
          <w:sz w:val="36"/>
          <w:szCs w:val="36"/>
          <w:u w:val="single"/>
        </w:rPr>
      </w:pP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תבנית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כתיבה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למתודה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-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המכון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לחקר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עתידים</w:t>
      </w:r>
      <w:r w:rsidDel="00000000" w:rsidR="00000000" w:rsidRPr="00000000">
        <w:rPr>
          <w:b w:val="1"/>
          <w:color w:val="2f5496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756025" cy="157848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2750" y="2998950"/>
                          <a:ext cx="37465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נא לקחת את התמונה מכאן: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https://www.doalogue.co.il/wiki/upload/doalogue/3/34/%D7%94%D7%99%D7%A1%D7%98_%D7%A4%D7%95%D7%98%D7%A0%D7%A6%D7%99%D7%90%D7%9C_.png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76200</wp:posOffset>
                </wp:positionV>
                <wp:extent cx="3756025" cy="1578481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6025" cy="15784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תקציר</w:t>
      </w:r>
    </w:p>
    <w:p w:rsidR="00000000" w:rsidDel="00000000" w:rsidP="00000000" w:rsidRDefault="00000000" w:rsidRPr="00000000" w14:paraId="00000009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ניתוח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ופוטנציאל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במתודה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והמגמות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והסיכונים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וההזדמנויות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שגלומות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הערכת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spacing w:line="240" w:lineRule="auto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1-3 </w:t>
      </w:r>
      <w:r w:rsidDel="00000000" w:rsidR="00000000" w:rsidRPr="00000000">
        <w:rPr>
          <w:rtl w:val="1"/>
        </w:rPr>
        <w:t xml:space="preserve">מפגשים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bidi w:val="1"/>
        <w:rPr>
          <w:sz w:val="18"/>
          <w:szCs w:val="18"/>
        </w:rPr>
      </w:pP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deded" w:val="clear"/>
        <w:bidi w:val="1"/>
        <w:spacing w:line="240" w:lineRule="auto"/>
        <w:rPr/>
      </w:pPr>
      <w:r w:rsidDel="00000000" w:rsidR="00000000" w:rsidRPr="00000000">
        <w:rPr>
          <w:rtl w:val="1"/>
        </w:rPr>
        <w:t xml:space="preserve">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אינטימית</w:t>
      </w:r>
      <w:r w:rsidDel="00000000" w:rsidR="00000000" w:rsidRPr="00000000">
        <w:rPr>
          <w:rtl w:val="1"/>
        </w:rPr>
        <w:t xml:space="preserve"> (3-6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11">
      <w:pPr>
        <w:bidi w:val="1"/>
        <w:rPr>
          <w:b w:val="1"/>
          <w:color w:val="2f5496"/>
          <w:sz w:val="28"/>
          <w:szCs w:val="28"/>
        </w:rPr>
      </w:pPr>
      <w:r w:rsidDel="00000000" w:rsidR="00000000" w:rsidRPr="00000000">
        <w:rPr>
          <w:b w:val="1"/>
          <w:color w:val="2f5496"/>
          <w:sz w:val="28"/>
          <w:szCs w:val="28"/>
          <w:rtl w:val="1"/>
        </w:rPr>
        <w:t xml:space="preserve">מילות</w:t>
      </w:r>
      <w:r w:rsidDel="00000000" w:rsidR="00000000" w:rsidRPr="00000000">
        <w:rPr>
          <w:b w:val="1"/>
          <w:color w:val="2f5496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2f5496"/>
          <w:sz w:val="28"/>
          <w:szCs w:val="28"/>
          <w:rtl w:val="1"/>
        </w:rPr>
        <w:t xml:space="preserve">מפתח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אסטרטגית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פרדיגמות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bidi w:val="1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המערכת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המתהווה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הנדונה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bidi w:val="1"/>
        <w:spacing w:after="0" w:afterAutospacing="0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המערכת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המורשת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rtl w:val="1"/>
        </w:rPr>
        <w:t xml:space="preserve">הרקע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שהונחו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המיסוד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b w:val="1"/>
          <w:rtl w:val="1"/>
        </w:rPr>
        <w:t xml:space="preserve">המערכת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העתידית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בעתיד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פרספקטיבות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בהיסט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ההיסט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</w:t>
      </w:r>
      <w:r w:rsidDel="00000000" w:rsidR="00000000" w:rsidRPr="00000000">
        <w:rPr>
          <w:rtl w:val="1"/>
        </w:rPr>
        <w:t xml:space="preserve">). 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שבגללן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D">
      <w:pPr>
        <w:pStyle w:val="Heading3"/>
        <w:bidi w:val="1"/>
        <w:rPr/>
      </w:pP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המקדימות</w:t>
      </w:r>
    </w:p>
    <w:p w:rsidR="00000000" w:rsidDel="00000000" w:rsidP="00000000" w:rsidRDefault="00000000" w:rsidRPr="00000000" w14:paraId="0000001E">
      <w:pPr>
        <w:bidi w:val="1"/>
        <w:rPr>
          <w:rFonts w:ascii="Calibri" w:cs="Calibri" w:eastAsia="Calibri" w:hAnsi="Calibri"/>
          <w:color w:val="1e4d78"/>
          <w:sz w:val="24"/>
          <w:szCs w:val="24"/>
        </w:rPr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מצגת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המתודה</w:t>
      </w:r>
      <w:r w:rsidDel="00000000" w:rsidR="00000000" w:rsidRPr="00000000">
        <w:rPr>
          <w:rFonts w:ascii="Calibri" w:cs="Calibri" w:eastAsia="Calibri" w:hAnsi="Calibri"/>
          <w:color w:val="1e4d78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פתיחה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ומטרותיה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שמפורט</w:t>
      </w:r>
      <w:r w:rsidDel="00000000" w:rsidR="00000000" w:rsidRPr="00000000">
        <w:rPr>
          <w:rtl w:val="1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1"/>
          </w:rPr>
          <w:t xml:space="preserve">בערך</w:t>
        </w:r>
      </w:hyperlink>
      <w:hyperlink r:id="rId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1"/>
          </w:rPr>
          <w:t xml:space="preserve">על</w:t>
        </w:r>
      </w:hyperlink>
      <w:hyperlink r:id="rId1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1"/>
          </w:rPr>
          <w:t xml:space="preserve">המודל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1"/>
        </w:rPr>
        <w:t xml:space="preserve">תיאור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המציאות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המתהווה</w:t>
      </w:r>
    </w:p>
    <w:p w:rsidR="00000000" w:rsidDel="00000000" w:rsidP="00000000" w:rsidRDefault="00000000" w:rsidRPr="00000000" w14:paraId="00000024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המאפיינים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ניתוח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המערכת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המורשת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גנאולוגי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7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שלישי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ניתוח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המציאות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העתידית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חוזים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תרחישים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מתמודדים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פוטנציאל</w:t>
      </w:r>
      <w:r w:rsidDel="00000000" w:rsidR="00000000" w:rsidRPr="00000000">
        <w:rPr>
          <w:rtl w:val="1"/>
        </w:rPr>
        <w:t xml:space="preserve">״. </w:t>
      </w:r>
    </w:p>
    <w:p w:rsidR="00000000" w:rsidDel="00000000" w:rsidP="00000000" w:rsidRDefault="00000000" w:rsidRPr="00000000" w14:paraId="00000029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רביעי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בהיסט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מרגע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הנדבכים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ההיסט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ונפער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ההיסט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B">
      <w:pPr>
        <w:pageBreakBefore w:val="0"/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חמישי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בפוטנציאל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בפער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שציירנו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פוטנציאל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לאתגרי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המתהווה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D">
      <w:pPr>
        <w:pageBreakBefore w:val="0"/>
        <w:bidi w:val="1"/>
        <w:rPr/>
      </w:pPr>
      <w:r w:rsidDel="00000000" w:rsidR="00000000" w:rsidRPr="00000000">
        <w:rPr>
          <w:b w:val="1"/>
          <w:rtl w:val="1"/>
        </w:rPr>
        <w:t xml:space="preserve">סיכום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מסגור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ההבנות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המרכזיות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להובלת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השינוי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הרצוי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תוצרים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jc w:val="left"/>
        <w:rPr/>
      </w:pPr>
      <w:r w:rsidDel="00000000" w:rsidR="00000000" w:rsidRPr="00000000">
        <w:rPr>
          <w:rtl w:val="1"/>
        </w:rPr>
        <w:t xml:space="preserve">התוצרים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מתודות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2">
      <w:pPr>
        <w:pageBreakBefore w:val="0"/>
        <w:bidi w:val="1"/>
        <w:rPr/>
      </w:pPr>
      <w:r w:rsidDel="00000000" w:rsidR="00000000" w:rsidRPr="00000000">
        <w:rPr>
          <w:rtl w:val="1"/>
        </w:rPr>
        <w:t xml:space="preserve">המתודה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משתלבת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hyperlink r:id="rId13">
        <w:r w:rsidDel="00000000" w:rsidR="00000000" w:rsidRPr="00000000">
          <w:rPr>
            <w:color w:val="0563c1"/>
            <w:u w:val="single"/>
            <w:rtl w:val="1"/>
          </w:rPr>
          <w:t xml:space="preserve">המודל</w:t>
        </w:r>
      </w:hyperlink>
      <w:hyperlink r:id="rId14">
        <w:r w:rsidDel="00000000" w:rsidR="00000000" w:rsidRPr="00000000">
          <w:rPr>
            <w:color w:val="0563c1"/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color w:val="0563c1"/>
            <w:u w:val="single"/>
            <w:rtl w:val="1"/>
          </w:rPr>
          <w:t xml:space="preserve">המערכתי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לאסטרטגיה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המערכת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3">
      <w:pPr>
        <w:pStyle w:val="Heading2"/>
        <w:pageBreakBefore w:val="0"/>
        <w:bidi w:val="1"/>
        <w:rPr/>
      </w:pPr>
      <w:r w:rsidDel="00000000" w:rsidR="00000000" w:rsidRPr="00000000">
        <w:rPr>
          <w:rtl w:val="1"/>
        </w:rPr>
        <w:t xml:space="preserve">הפניה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למקורות</w:t>
      </w:r>
    </w:p>
    <w:p w:rsidR="00000000" w:rsidDel="00000000" w:rsidP="00000000" w:rsidRDefault="00000000" w:rsidRPr="00000000" w14:paraId="00000034">
      <w:pPr>
        <w:bidi w:val="1"/>
        <w:rPr/>
      </w:pPr>
      <w:hyperlink r:id="rId16">
        <w:r w:rsidDel="00000000" w:rsidR="00000000" w:rsidRPr="00000000">
          <w:rPr>
            <w:color w:val="0563c1"/>
            <w:u w:val="single"/>
            <w:rtl w:val="1"/>
          </w:rPr>
          <w:t xml:space="preserve">באתר</w:t>
        </w:r>
      </w:hyperlink>
      <w:hyperlink r:id="rId17">
        <w:r w:rsidDel="00000000" w:rsidR="00000000" w:rsidRPr="00000000">
          <w:rPr>
            <w:color w:val="0563c1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color w:val="0563c1"/>
            <w:u w:val="single"/>
            <w:rtl w:val="1"/>
          </w:rPr>
          <w:t xml:space="preserve">דואלוג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pageBreakBefore w:val="0"/>
        <w:bidi w:val="1"/>
        <w:rPr/>
      </w:pPr>
      <w:r w:rsidDel="00000000" w:rsidR="00000000" w:rsidRPr="00000000">
        <w:rPr>
          <w:rtl w:val="1"/>
        </w:rPr>
        <w:t xml:space="preserve">הצגת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תבנית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טמפלט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המתודה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bidi w:val="1"/>
        <w:spacing w:after="0" w:lineRule="auto"/>
        <w:ind w:left="72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1"/>
          </w:rPr>
          <w:t xml:space="preserve">המודל</w:t>
        </w:r>
      </w:hyperlink>
      <w:hyperlink r:id="rId20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u w:val="single"/>
            <w:rtl w:val="1"/>
          </w:rPr>
          <w:t xml:space="preserve">ב</w:t>
        </w:r>
      </w:hyperlink>
      <w:hyperlink r:id="rId22">
        <w:r w:rsidDel="00000000" w:rsidR="00000000" w:rsidRPr="00000000">
          <w:rPr>
            <w:color w:val="1155cc"/>
            <w:u w:val="single"/>
            <w:rtl w:val="1"/>
          </w:rPr>
          <w:t xml:space="preserve">-</w:t>
        </w:r>
      </w:hyperlink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5284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75EAB"/>
    <w:pPr>
      <w:keepNext w:val="1"/>
      <w:keepLines w:val="1"/>
      <w:spacing w:after="0" w:before="40"/>
      <w:outlineLvl w:val="1"/>
    </w:pPr>
    <w:rPr>
      <w:rFonts w:cs="Assistant" w:asciiTheme="majorHAnsi" w:eastAsiaTheme="majorEastAsia" w:hAnsiTheme="majorHAnsi"/>
      <w:bCs w:val="1"/>
      <w:color w:val="2e74b5" w:themeColor="accent1" w:themeShade="0000BF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A75EAB"/>
    <w:pPr>
      <w:keepNext w:val="1"/>
      <w:keepLines w:val="1"/>
      <w:spacing w:after="0" w:before="40"/>
      <w:outlineLvl w:val="2"/>
    </w:pPr>
    <w:rPr>
      <w:rFonts w:cs="Assistant" w:asciiTheme="majorHAnsi" w:eastAsiaTheme="majorEastAsia" w:hAnsiTheme="majorHAnsi"/>
      <w:bCs w:val="1"/>
      <w:color w:val="1f4d78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F485E"/>
    <w:pPr>
      <w:ind w:left="720"/>
      <w:contextualSpacing w:val="1"/>
    </w:pPr>
  </w:style>
  <w:style w:type="character" w:styleId="jlqj4b" w:customStyle="1">
    <w:name w:val="jlqj4b"/>
    <w:basedOn w:val="DefaultParagraphFont"/>
    <w:rsid w:val="00972F49"/>
  </w:style>
  <w:style w:type="character" w:styleId="Hyperlink">
    <w:name w:val="Hyperlink"/>
    <w:basedOn w:val="DefaultParagraphFont"/>
    <w:uiPriority w:val="99"/>
    <w:unhideWhenUsed w:val="1"/>
    <w:rsid w:val="00AF51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97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E97D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97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97DF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97DF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6930"/>
    <w:pPr>
      <w:spacing w:after="0" w:line="240" w:lineRule="auto"/>
    </w:pPr>
    <w:rPr>
      <w:rFonts w:ascii="Tahoma" w:cs="Tahoma" w:hAnsi="Tahoma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6930"/>
    <w:rPr>
      <w:rFonts w:ascii="Tahoma" w:cs="Tahoma" w:hAnsi="Tahoma"/>
      <w:sz w:val="18"/>
      <w:szCs w:val="18"/>
    </w:rPr>
  </w:style>
  <w:style w:type="table" w:styleId="TableGrid">
    <w:name w:val="Table Grid"/>
    <w:basedOn w:val="TableNormal"/>
    <w:uiPriority w:val="39"/>
    <w:rsid w:val="0041385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75EAB"/>
    <w:rPr>
      <w:rFonts w:cs="Assistant" w:asciiTheme="majorHAnsi" w:eastAsiaTheme="majorEastAsia" w:hAnsiTheme="majorHAnsi"/>
      <w:bCs w:val="1"/>
      <w:color w:val="2e74b5" w:themeColor="accent1" w:themeShade="0000BF"/>
      <w:sz w:val="26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A75EAB"/>
    <w:rPr>
      <w:rFonts w:cs="Assistant" w:asciiTheme="majorHAnsi" w:eastAsiaTheme="majorEastAsia" w:hAnsiTheme="majorHAnsi"/>
      <w:bCs w:val="1"/>
      <w:color w:val="1f4d78" w:themeColor="accent1" w:themeShade="0000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555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doalogue.co.il/wiki/upload/doalogue/f/fe/%D7%94%D7%99%D7%A1%D7%98_%D7%A4%D7%95%D7%98%D7%A0%D7%A6%D7%99%D7%90%D7%9C_.pdf" TargetMode="External"/><Relationship Id="rId11" Type="http://schemas.openxmlformats.org/officeDocument/2006/relationships/hyperlink" Target="https://doalogue.co.il/wiki/%D7%94%D7%99%D7%A1%D7%98" TargetMode="External"/><Relationship Id="rId22" Type="http://schemas.openxmlformats.org/officeDocument/2006/relationships/hyperlink" Target="https://www.doalogue.co.il/wiki/upload/doalogue/f/fe/%D7%94%D7%99%D7%A1%D7%98_%D7%A4%D7%95%D7%98%D7%A0%D7%A6%D7%99%D7%90%D7%9C_.pdf" TargetMode="External"/><Relationship Id="rId10" Type="http://schemas.openxmlformats.org/officeDocument/2006/relationships/hyperlink" Target="https://doalogue.co.il/wiki/%D7%94%D7%99%D7%A1%D7%98" TargetMode="External"/><Relationship Id="rId21" Type="http://schemas.openxmlformats.org/officeDocument/2006/relationships/hyperlink" Target="https://www.doalogue.co.il/wiki/upload/doalogue/f/fe/%D7%94%D7%99%D7%A1%D7%98_%D7%A4%D7%95%D7%98%D7%A0%D7%A6%D7%99%D7%90%D7%9C_.pdf" TargetMode="External"/><Relationship Id="rId13" Type="http://schemas.openxmlformats.org/officeDocument/2006/relationships/hyperlink" Target="https://doalogue.co.il/wiki/%D7%9E%D7%95%D7%93%D7%9C_%D7%90%D7%A1%D7%98%D7%A8%D7%98%D7%92%D7%99_%D7%9E%D7%A2%D7%A8%D7%9B%D7%AA%D7%99" TargetMode="External"/><Relationship Id="rId12" Type="http://schemas.openxmlformats.org/officeDocument/2006/relationships/hyperlink" Target="https://doalogue.co.il/wiki/%D7%94%D7%99%D7%A1%D7%98" TargetMode="External"/><Relationship Id="rId23" Type="http://schemas.openxmlformats.org/officeDocument/2006/relationships/hyperlink" Target="https://www.doalogue.co.il/wiki/upload/doalogue/f/fe/%D7%94%D7%99%D7%A1%D7%98_%D7%A4%D7%95%D7%98%D7%A0%D7%A6%D7%99%D7%90%D7%9C_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alogue.co.il/wiki/%D7%94%D7%99%D7%A1%D7%98" TargetMode="External"/><Relationship Id="rId15" Type="http://schemas.openxmlformats.org/officeDocument/2006/relationships/hyperlink" Target="https://doalogue.co.il/wiki/%D7%9E%D7%95%D7%93%D7%9C_%D7%90%D7%A1%D7%98%D7%A8%D7%98%D7%92%D7%99_%D7%9E%D7%A2%D7%A8%D7%9B%D7%AA%D7%99" TargetMode="External"/><Relationship Id="rId14" Type="http://schemas.openxmlformats.org/officeDocument/2006/relationships/hyperlink" Target="https://doalogue.co.il/wiki/%D7%9E%D7%95%D7%93%D7%9C_%D7%90%D7%A1%D7%98%D7%A8%D7%98%D7%92%D7%99_%D7%9E%D7%A2%D7%A8%D7%9B%D7%AA%D7%99" TargetMode="External"/><Relationship Id="rId17" Type="http://schemas.openxmlformats.org/officeDocument/2006/relationships/hyperlink" Target="https://doalogue.co.il/wiki/%D7%9E%D7%95%D7%93%D7%9C_%D7%90%D7%A1%D7%98%D7%A8%D7%98%D7%92%D7%99_%D7%9E%D7%A2%D7%A8%D7%9B%D7%AA%D7%99" TargetMode="External"/><Relationship Id="rId16" Type="http://schemas.openxmlformats.org/officeDocument/2006/relationships/hyperlink" Target="https://doalogue.co.il/wiki/%D7%9E%D7%95%D7%93%D7%9C_%D7%90%D7%A1%D7%98%D7%A8%D7%98%D7%92%D7%99_%D7%9E%D7%A2%D7%A8%D7%9B%D7%AA%D7%99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doalogue.co.il/wiki/upload/doalogue/f/fe/%D7%94%D7%99%D7%A1%D7%98_%D7%A4%D7%95%D7%98%D7%A0%D7%A6%D7%99%D7%90%D7%9C_.pdf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oalogue.co.il/wiki/%D7%9E%D7%95%D7%93%D7%9C_%D7%90%D7%A1%D7%98%D7%A8%D7%98%D7%92%D7%99_%D7%9E%D7%A2%D7%A8%D7%9B%D7%AA%D7%99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oalogue.co.il/wiki/%D7%94%D7%99%D7%A1%D7%98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AlpTl61A+hUcdn0/zMzUqe2rg==">AMUW2mWjNahdiDLVkeQXLRX+ESR1ya1ljwenCeW4enNNTG+l9kS/bXeMVCT335NoONsOUCR2cx2v0C/ip8j8wuQpumTuZjW/KIp9LYNWQoHlbbf5nCDrt6Q=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2021-06-08T08:44:00Z</dcterms:created>
  <dc:creator>Adi</dc:creator>
</cp:coreProperties>
</file>