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2f5496"/>
          <w:sz w:val="36"/>
          <w:szCs w:val="36"/>
          <w:u w:val="single"/>
        </w:rPr>
      </w:pP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תבנית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כתיבה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למתודה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-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המכון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לחקר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עתידים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3051794" cy="1954693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103" y="2802654"/>
                          <a:ext cx="3051794" cy="1954693"/>
                          <a:chOff x="3820103" y="2802654"/>
                          <a:chExt cx="3051794" cy="1954693"/>
                        </a:xfrm>
                      </wpg:grpSpPr>
                      <wpg:grpSp>
                        <wpg:cNvGrpSpPr/>
                        <wpg:grpSpPr>
                          <a:xfrm>
                            <a:off x="3820103" y="2802654"/>
                            <a:ext cx="3051794" cy="1954693"/>
                            <a:chOff x="3472750" y="2998950"/>
                            <a:chExt cx="3746500" cy="23886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72750" y="2998950"/>
                              <a:ext cx="3746500" cy="238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472750" y="2998950"/>
                              <a:ext cx="37465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נא לקחת את התמונה מכאן: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https://mahon.mop.education/wp-content/uploads/2021/04/--------------_--------_-_-----------768x440.jpg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160" w:before="0" w:line="259.0000820159912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702588" y="3504500"/>
                              <a:ext cx="3286825" cy="1883075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38100</wp:posOffset>
                </wp:positionV>
                <wp:extent cx="3051794" cy="1954693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794" cy="1954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תקציר</w:t>
      </w:r>
    </w:p>
    <w:p w:rsidR="00000000" w:rsidDel="00000000" w:rsidP="00000000" w:rsidRDefault="00000000" w:rsidRPr="00000000" w14:paraId="0000000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המשוב</w:t>
      </w:r>
    </w:p>
    <w:p w:rsidR="00000000" w:rsidDel="00000000" w:rsidP="00000000" w:rsidRDefault="00000000" w:rsidRPr="00000000" w14:paraId="0000000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במתודה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rPr/>
      </w:pPr>
      <w:r w:rsidDel="00000000" w:rsidR="00000000" w:rsidRPr="00000000">
        <w:rPr>
          <w:rtl w:val="1"/>
        </w:rPr>
        <w:t xml:space="preserve">דיאגרמת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סיבתי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מאנגלית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Causal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loop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diagram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CLD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ולגבש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הדפוסים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הערכת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1-3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bidi w:val="1"/>
        <w:rPr>
          <w:sz w:val="18"/>
          <w:szCs w:val="18"/>
        </w:rPr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מצומצמת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>
          <w:b w:val="1"/>
          <w:color w:val="2f5496"/>
          <w:sz w:val="28"/>
          <w:szCs w:val="28"/>
        </w:rPr>
      </w:pP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מילות</w:t>
      </w: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מפתח</w:t>
      </w:r>
    </w:p>
    <w:p w:rsidR="00000000" w:rsidDel="00000000" w:rsidP="00000000" w:rsidRDefault="00000000" w:rsidRPr="00000000" w14:paraId="00000012">
      <w:pPr>
        <w:bidi w:val="1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דיאגרמות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המתרחשים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הסלמתיים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אפקטיביים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המקדימות</w:t>
      </w:r>
    </w:p>
    <w:p w:rsidR="00000000" w:rsidDel="00000000" w:rsidP="00000000" w:rsidRDefault="00000000" w:rsidRPr="00000000" w14:paraId="00000018">
      <w:pPr>
        <w:bidi w:val="1"/>
        <w:rPr>
          <w:rFonts w:ascii="Calibri" w:cs="Calibri" w:eastAsia="Calibri" w:hAnsi="Calibri"/>
          <w:color w:val="1e4d78"/>
          <w:sz w:val="24"/>
          <w:szCs w:val="24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מצגת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פתיחה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120" w:before="140" w:line="335.99999999999994" w:lineRule="auto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דיאגרמות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משוב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מורכבות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מהמרכיבים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bidi w:val="1"/>
        <w:spacing w:after="0" w:before="140" w:line="335.99999999999994" w:lineRule="auto"/>
        <w:ind w:left="720" w:right="36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רכיבים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ותהליכים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הדיאגרמה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מציגה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המערכת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ברמת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השחקנים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ארגונים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וכדומה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לרוב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מוצגים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תהליכים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מרכזיים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גלויים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מרכזיים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רמה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bidi w:val="1"/>
        <w:spacing w:after="0" w:before="0" w:line="335.99999999999994" w:lineRule="auto"/>
        <w:ind w:left="720" w:right="36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זיקות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הקשרים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והתהליכים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מיוצגים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קווים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המחברים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ומתארים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ההשפעות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bidi w:val="1"/>
        <w:spacing w:after="0" w:before="0" w:line="335.99999999999994" w:lineRule="auto"/>
        <w:ind w:left="720" w:right="36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טיב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הזיקות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הדיאגרמה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מבקש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איכות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ההשפעה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bidi w:val="1"/>
        <w:spacing w:after="0" w:before="0" w:line="335.99999999999994" w:lineRule="auto"/>
        <w:ind w:left="720" w:right="36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לולאות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משוב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0"/>
        </w:rPr>
        <w:t xml:space="preserve">feedback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0"/>
        </w:rPr>
        <w:t xml:space="preserve">loops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זיקה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משפיעה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הגורם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המשפיע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נוצר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למעגל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משוב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המתקיים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במערכת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מתוכם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יווצרו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spacing w:after="0" w:before="0" w:line="335.99999999999994" w:lineRule="auto"/>
        <w:ind w:left="1440" w:right="78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לולאות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מאזנות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blancing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loops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לולאות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שמובילות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למצב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איזון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במערכת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גדילה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אוכלוסיית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הטורפים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מצמצמת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אוכלוסיית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הנטרפים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שמצמצם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אוכלוסיית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הטורפים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ומוביל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לאיזון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spacing w:after="240" w:before="0" w:line="335.99999999999994" w:lineRule="auto"/>
        <w:ind w:left="1440" w:right="78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לולאות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מחזקות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reinforcing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0"/>
        </w:rPr>
        <w:t xml:space="preserve">loops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לולאות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שמחזקות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מגמה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איזון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עליית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ריכוז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הפחמן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הדו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חמצני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באוויר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מוביל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להתחממות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שמובילה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למדבור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שפוגע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בצמחים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המפרקים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פחמן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חמצני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b w:val="1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ניסוח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hyperlink r:id="rId9">
        <w:r w:rsidDel="00000000" w:rsidR="00000000" w:rsidRPr="00000000">
          <w:rPr>
            <w:rFonts w:ascii="Assistant" w:cs="Assistant" w:eastAsia="Assistant" w:hAnsi="Assistant"/>
            <w:b w:val="1"/>
            <w:color w:val="0645ad"/>
            <w:sz w:val="26"/>
            <w:szCs w:val="26"/>
            <w:rtl w:val="1"/>
          </w:rPr>
          <w:t xml:space="preserve">גבולות</w:t>
        </w:r>
      </w:hyperlink>
      <w:hyperlink r:id="rId10">
        <w:r w:rsidDel="00000000" w:rsidR="00000000" w:rsidRPr="00000000">
          <w:rPr>
            <w:rFonts w:ascii="Assistant" w:cs="Assistant" w:eastAsia="Assistant" w:hAnsi="Assistant"/>
            <w:b w:val="1"/>
            <w:color w:val="0645ad"/>
            <w:sz w:val="26"/>
            <w:szCs w:val="26"/>
            <w:rtl w:val="1"/>
          </w:rPr>
          <w:t xml:space="preserve"> </w:t>
        </w:r>
      </w:hyperlink>
      <w:hyperlink r:id="rId11">
        <w:r w:rsidDel="00000000" w:rsidR="00000000" w:rsidRPr="00000000">
          <w:rPr>
            <w:rFonts w:ascii="Assistant" w:cs="Assistant" w:eastAsia="Assistant" w:hAnsi="Assistant"/>
            <w:b w:val="1"/>
            <w:color w:val="0645ad"/>
            <w:sz w:val="26"/>
            <w:szCs w:val="26"/>
            <w:rtl w:val="1"/>
          </w:rPr>
          <w:t xml:space="preserve">המערכת</w:t>
        </w:r>
      </w:hyperlink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להגדיר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מצוי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תחום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המערכת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בסיס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מידת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החיבוריות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וההשפעה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משפיע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מבחוץ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משפיע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יוצר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בדיאגרמה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7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השחקנים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והתהליכים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המרכזיים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גבולות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המערכת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הצבת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השחקנים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והתהליכים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המשפיעים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הסוגיה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הנדונה</w:t>
      </w:r>
    </w:p>
    <w:p w:rsidR="00000000" w:rsidDel="00000000" w:rsidP="00000000" w:rsidRDefault="00000000" w:rsidRPr="00000000" w14:paraId="00000029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שלישי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שרטוט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הזיקות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הבין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השחקנים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שרטוט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הקשרים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השחקנים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והתהליכים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בקווים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המחברים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בניהם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2B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רביעי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טיב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הזיקות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להגדיר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זיקה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מדובר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בההשפעה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חיובית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שלילית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02D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חמישי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זיהוי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משוב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בחינת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ההשפעות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המעגליות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וסגירת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שפספסנו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בשרטוט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הזיקות</w:t>
      </w:r>
    </w:p>
    <w:p w:rsidR="00000000" w:rsidDel="00000000" w:rsidP="00000000" w:rsidRDefault="00000000" w:rsidRPr="00000000" w14:paraId="0000002E">
      <w:pPr>
        <w:shd w:fill="ffffff" w:val="clear"/>
        <w:bidi w:val="1"/>
        <w:spacing w:after="120" w:before="140" w:line="335.99999999999994" w:lineRule="auto"/>
        <w:ind w:left="0" w:right="360" w:firstLine="0"/>
        <w:jc w:val="both"/>
        <w:rPr>
          <w:rFonts w:ascii="Assistant" w:cs="Assistant" w:eastAsia="Assistant" w:hAnsi="Assistant"/>
          <w:color w:val="222222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שישי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תיוג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משוב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מאזנים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sz w:val="26"/>
          <w:szCs w:val="26"/>
          <w:rtl w:val="1"/>
        </w:rPr>
        <w:t xml:space="preserve">ומחזקים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נסתכל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המעגלים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שנפרסו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ונתייג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כמעגלי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משוב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מאזנים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מחזקים</w:t>
      </w:r>
      <w:r w:rsidDel="00000000" w:rsidR="00000000" w:rsidRPr="00000000">
        <w:rPr>
          <w:rFonts w:ascii="Assistant" w:cs="Assistant" w:eastAsia="Assistant" w:hAnsi="Assistant"/>
          <w:color w:val="222222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F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טיפים</w:t>
      </w:r>
    </w:p>
    <w:p w:rsidR="00000000" w:rsidDel="00000000" w:rsidP="00000000" w:rsidRDefault="00000000" w:rsidRPr="00000000" w14:paraId="00000030">
      <w:pPr>
        <w:pStyle w:val="Heading2"/>
        <w:numPr>
          <w:ilvl w:val="0"/>
          <w:numId w:val="2"/>
        </w:numPr>
        <w:shd w:fill="ffffff" w:val="clear"/>
        <w:bidi w:val="1"/>
        <w:spacing w:after="0" w:before="140" w:line="335.99999999999994" w:lineRule="auto"/>
        <w:ind w:left="720" w:right="36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שימור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הגמישות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בתהליך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מאחר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ואנחנו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מנסים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הקשרים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הגורמים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לשמר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גמישות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המפה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המתהווה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באמצעים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דינמיים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פוסט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איט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כלים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וירטואליים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מחיק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וכיוב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׳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מאחר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ונדרשים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שינויים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והתאמות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במעלה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numPr>
          <w:ilvl w:val="0"/>
          <w:numId w:val="2"/>
        </w:numPr>
        <w:shd w:fill="ffffff" w:val="clear"/>
        <w:bidi w:val="1"/>
        <w:spacing w:after="0" w:before="0" w:line="335.99999999999994" w:lineRule="auto"/>
        <w:ind w:left="720" w:right="36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מהתוצאה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הדיאגרמה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משמעותי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מהערך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בחשיפה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הסיבתיות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הסמויה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numPr>
          <w:ilvl w:val="0"/>
          <w:numId w:val="2"/>
        </w:numPr>
        <w:shd w:fill="ffffff" w:val="clear"/>
        <w:bidi w:val="1"/>
        <w:spacing w:after="0" w:before="0" w:line="335.99999999999994" w:lineRule="auto"/>
        <w:ind w:left="720" w:right="360" w:hanging="360"/>
        <w:jc w:val="both"/>
        <w:rPr/>
      </w:pP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זיקה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מחייבת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איכותי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בע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פ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למתוח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קווים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טיב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הזיקות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להתעקש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זיקה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התיאור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לתעד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מהתוצרים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המפה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ישירות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גביה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numPr>
          <w:ilvl w:val="0"/>
          <w:numId w:val="2"/>
        </w:numPr>
        <w:shd w:fill="ffffff" w:val="clear"/>
        <w:bidi w:val="1"/>
        <w:spacing w:after="120" w:before="0" w:line="335.99999999999994" w:lineRule="auto"/>
        <w:ind w:left="720" w:right="360" w:hanging="360"/>
        <w:jc w:val="both"/>
        <w:rPr/>
      </w:pPr>
      <w:bookmarkStart w:colFirst="0" w:colLast="0" w:name="_heading=h.rr6kju5nm3b3" w:id="0"/>
      <w:bookmarkEnd w:id="0"/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התכלית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היגיון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222222"/>
          <w:rtl w:val="1"/>
        </w:rPr>
        <w:t xml:space="preserve">שלמות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המפה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לייצג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הזיקות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שהמערכת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גדולה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מורכבת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נעשית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בלתי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אפשרית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לייצר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הבנות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והגיונות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לייצר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היגיון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להשמיט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ביודעין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מהמפה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שמכבידים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ההבנה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בדומה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בכלים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שיסייעו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להבהרת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צביעה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שכונות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מסויימות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תיאור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צמתי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מפתח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וכיוב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׳)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למרות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מהאפיון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הבסיסי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דיאגרמות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משוב</w:t>
      </w:r>
      <w:r w:rsidDel="00000000" w:rsidR="00000000" w:rsidRPr="00000000">
        <w:rPr>
          <w:rFonts w:ascii="Assistant" w:cs="Assistant" w:eastAsia="Assistant" w:hAnsi="Assistant"/>
          <w:color w:val="22222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jc w:val="left"/>
        <w:rPr/>
      </w:pPr>
      <w:r w:rsidDel="00000000" w:rsidR="00000000" w:rsidRPr="00000000">
        <w:rPr>
          <w:rtl w:val="1"/>
        </w:rPr>
        <w:t xml:space="preserve">התוצר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דיאגרמת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7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למקורות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bidi w:val="1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1"/>
          </w:rPr>
          <w:t xml:space="preserve">ערך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מורחב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1"/>
          </w:rPr>
          <w:t xml:space="preserve">על</w:t>
        </w:r>
      </w:hyperlink>
      <w:hyperlink r:id="rId1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1"/>
          </w:rPr>
          <w:t xml:space="preserve">דיאגרמות</w:t>
        </w:r>
      </w:hyperlink>
      <w:hyperlink r:id="rId1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u w:val="single"/>
            <w:rtl w:val="1"/>
          </w:rPr>
          <w:t xml:space="preserve">משוב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הצגת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תבנית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טמפלט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3A">
      <w:pPr>
        <w:bidi w:val="1"/>
        <w:spacing w:after="0" w:lineRule="auto"/>
        <w:ind w:left="0" w:firstLine="0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Loopy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ssistant" w:cs="Assistant" w:eastAsia="Assistant" w:hAnsi="Assistant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ssistant" w:cs="Assistant" w:eastAsia="Assistant" w:hAnsi="Assistant"/>
        <w:color w:val="222222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ssistant" w:cs="Assistant" w:eastAsia="Assistant" w:hAnsi="Assistant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5284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75EAB"/>
    <w:pPr>
      <w:keepNext w:val="1"/>
      <w:keepLines w:val="1"/>
      <w:spacing w:after="0" w:before="40"/>
      <w:outlineLvl w:val="1"/>
    </w:pPr>
    <w:rPr>
      <w:rFonts w:cs="Assistant" w:asciiTheme="majorHAnsi" w:eastAsiaTheme="majorEastAsia" w:hAnsiTheme="majorHAnsi"/>
      <w:bCs w:val="1"/>
      <w:color w:val="2e74b5" w:themeColor="accent1" w:themeShade="0000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A75EAB"/>
    <w:pPr>
      <w:keepNext w:val="1"/>
      <w:keepLines w:val="1"/>
      <w:spacing w:after="0" w:before="40"/>
      <w:outlineLvl w:val="2"/>
    </w:pPr>
    <w:rPr>
      <w:rFonts w:cs="Assistant" w:asciiTheme="majorHAnsi" w:eastAsiaTheme="majorEastAsia" w:hAnsiTheme="majorHAnsi"/>
      <w:bCs w:val="1"/>
      <w:color w:val="1f4d78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F485E"/>
    <w:pPr>
      <w:ind w:left="720"/>
      <w:contextualSpacing w:val="1"/>
    </w:pPr>
  </w:style>
  <w:style w:type="character" w:styleId="jlqj4b" w:customStyle="1">
    <w:name w:val="jlqj4b"/>
    <w:basedOn w:val="DefaultParagraphFont"/>
    <w:rsid w:val="00972F49"/>
  </w:style>
  <w:style w:type="character" w:styleId="Hyperlink">
    <w:name w:val="Hyperlink"/>
    <w:basedOn w:val="DefaultParagraphFont"/>
    <w:uiPriority w:val="99"/>
    <w:unhideWhenUsed w:val="1"/>
    <w:rsid w:val="00AF51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E97D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9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97DF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97DF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6930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6930"/>
    <w:rPr>
      <w:rFonts w:ascii="Tahoma" w:cs="Tahoma" w:hAnsi="Tahoma"/>
      <w:sz w:val="18"/>
      <w:szCs w:val="18"/>
    </w:rPr>
  </w:style>
  <w:style w:type="table" w:styleId="TableGrid">
    <w:name w:val="Table Grid"/>
    <w:basedOn w:val="TableNormal"/>
    <w:uiPriority w:val="39"/>
    <w:rsid w:val="004138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75EAB"/>
    <w:rPr>
      <w:rFonts w:cs="Assistant" w:asciiTheme="majorHAnsi" w:eastAsiaTheme="majorEastAsia" w:hAnsiTheme="majorHAnsi"/>
      <w:bCs w:val="1"/>
      <w:color w:val="2e74b5" w:themeColor="accent1" w:themeShade="0000BF"/>
      <w:sz w:val="26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A75EAB"/>
    <w:rPr>
      <w:rFonts w:cs="Assistant" w:asciiTheme="majorHAnsi" w:eastAsiaTheme="majorEastAsia" w:hAnsiTheme="majorHAnsi"/>
      <w:bCs w:val="1"/>
      <w:color w:val="1f4d78" w:themeColor="accent1" w:themeShade="0000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555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11" Type="http://schemas.openxmlformats.org/officeDocument/2006/relationships/hyperlink" Target="https://doalogue.co.il/wiki/%D7%92%D7%91%D7%95%D7%9C%D7%95%D7%AA_%D7%94%D7%9E%D7%A2%D7%A8%D7%9B%D7%AA" TargetMode="External"/><Relationship Id="rId10" Type="http://schemas.openxmlformats.org/officeDocument/2006/relationships/hyperlink" Target="https://doalogue.co.il/wiki/%D7%92%D7%91%D7%95%D7%9C%D7%95%D7%AA_%D7%94%D7%9E%D7%A2%D7%A8%D7%9B%D7%AA" TargetMode="External"/><Relationship Id="rId21" Type="http://schemas.openxmlformats.org/officeDocument/2006/relationships/hyperlink" Target="https://ncase.me/loopy/" TargetMode="External"/><Relationship Id="rId13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12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alogue.co.il/wiki/%D7%92%D7%91%D7%95%D7%9C%D7%95%D7%AA_%D7%94%D7%9E%D7%A2%D7%A8%D7%9B%D7%AA" TargetMode="External"/><Relationship Id="rId15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14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17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16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5" Type="http://schemas.openxmlformats.org/officeDocument/2006/relationships/styles" Target="styles.xml"/><Relationship Id="rId19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ahon.mop.education/%D7%9E%D7%93%D7%A8%D7%99%D7%9B%D7%99-%D7%A7%D7%95%D7%A8%D7%A1%D7%99%D7%9D/%D7%97%D7%A9%D7%99%D7%91%D7%94-%D7%9E%D7%A2%D7%A8%D7%9B%D7%AA%D7%99%D7%AA-%D7%91%D7%9E%D7%A2%D7%A8%D7%9B%D7%AA-%D7%94%D7%97%D7%99%D7%A0%D7%95%D7%9A/%D7%A4%D7%A8%D7%A7-3-%D7%AA%D7%95%D7%A8%D7%AA-%D7%94%D7%9E%D7%A2%D7%A8%D7%9B%D7%95%D7%AA/6-%D7%93%D7%99%D7%90%D7%92%D7%A8%D7%9E%D7%AA-%D7%9E%D7%A9%D7%95%D7%91-%D7%A1%D7%99%D7%91%D7%AA%D7%99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KWaKpkxGAOSzEsV78XRWgyfeg==">AMUW2mUKLZ7Nd3lh9mj5+Az4Fib0dJKmqXjf1b7YxeG+LczWHrbpwS0BTPAg1Xc1n0xxPktcfI0ivmEjVIuMlfM+aWtLDGrwk9xsRtk8jBRhEDJT1+2wi5CeJOiOXoDcc/TbvP04UkDf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2021-06-08T08:44:00Z</dcterms:created>
  <dc:creator>Adi</dc:creator>
</cp:coreProperties>
</file>